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88" w:rsidRDefault="00EC1767" w:rsidP="00830C55">
      <w:pPr>
        <w:pStyle w:val="Heading1"/>
        <w:spacing w:after="0" w:line="240" w:lineRule="auto"/>
        <w:ind w:left="0" w:firstLine="0"/>
        <w:rPr>
          <w:color w:val="1F4E79" w:themeColor="accent1" w:themeShade="80"/>
          <w:sz w:val="26"/>
          <w:szCs w:val="26"/>
        </w:rPr>
      </w:pPr>
      <w:r>
        <w:rPr>
          <w:noProof/>
          <w:sz w:val="21"/>
          <w:szCs w:val="21"/>
        </w:rPr>
        <w:drawing>
          <wp:anchor distT="0" distB="0" distL="114300" distR="114300" simplePos="0" relativeHeight="251658240" behindDoc="0" locked="0" layoutInCell="1" allowOverlap="1">
            <wp:simplePos x="0" y="0"/>
            <wp:positionH relativeFrom="column">
              <wp:posOffset>-704215</wp:posOffset>
            </wp:positionH>
            <wp:positionV relativeFrom="paragraph">
              <wp:posOffset>-685800</wp:posOffset>
            </wp:positionV>
            <wp:extent cx="1104900" cy="785323"/>
            <wp:effectExtent l="19050" t="0" r="19050" b="2438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SLPS_LOGO_D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78532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E1CDE" w:rsidRPr="00EC1767">
        <w:rPr>
          <w:color w:val="1F4E79" w:themeColor="accent1" w:themeShade="80"/>
          <w:sz w:val="26"/>
          <w:szCs w:val="26"/>
        </w:rPr>
        <w:t>NON-PUBLIC SCHOOL PARTICIPATION</w:t>
      </w:r>
    </w:p>
    <w:p w:rsidR="00830C55" w:rsidRPr="00830C55" w:rsidRDefault="00830C55" w:rsidP="00830C55">
      <w:pPr>
        <w:spacing w:after="0" w:line="240" w:lineRule="auto"/>
      </w:pPr>
    </w:p>
    <w:p w:rsidR="000140C3" w:rsidRDefault="004E1CDE" w:rsidP="00830C55">
      <w:pPr>
        <w:pStyle w:val="Heading1"/>
        <w:spacing w:after="0" w:line="240" w:lineRule="auto"/>
        <w:rPr>
          <w:color w:val="1F4E79" w:themeColor="accent1" w:themeShade="80"/>
          <w:sz w:val="22"/>
        </w:rPr>
      </w:pPr>
      <w:r w:rsidRPr="00EC1767">
        <w:rPr>
          <w:color w:val="1F4E79" w:themeColor="accent1" w:themeShade="80"/>
          <w:sz w:val="22"/>
        </w:rPr>
        <w:t>TITLE II, PART A   - HIGH QUALITY PROFESSIONAL DEVELOPMENT</w:t>
      </w:r>
    </w:p>
    <w:p w:rsidR="00EC1767" w:rsidRDefault="00EC1767" w:rsidP="00EC1767">
      <w:pPr>
        <w:spacing w:after="0"/>
      </w:pPr>
    </w:p>
    <w:p w:rsidR="00830C55" w:rsidRPr="00EC1767" w:rsidRDefault="00830C55" w:rsidP="00EC1767">
      <w:pPr>
        <w:spacing w:after="0"/>
      </w:pPr>
    </w:p>
    <w:p w:rsidR="000140C3" w:rsidRPr="00EC1767" w:rsidRDefault="004E1CDE" w:rsidP="00EC1767">
      <w:pPr>
        <w:pStyle w:val="Heading2"/>
        <w:rPr>
          <w:color w:val="1F4E79" w:themeColor="accent1" w:themeShade="80"/>
        </w:rPr>
      </w:pPr>
      <w:r w:rsidRPr="00EC1767">
        <w:rPr>
          <w:color w:val="1F4E79" w:themeColor="accent1" w:themeShade="80"/>
        </w:rPr>
        <w:t>Eligible Activities</w:t>
      </w:r>
      <w:r w:rsidRPr="00EC1767">
        <w:rPr>
          <w:b w:val="0"/>
          <w:color w:val="1F4E79" w:themeColor="accent1" w:themeShade="80"/>
        </w:rPr>
        <w:t xml:space="preserve">  </w:t>
      </w:r>
      <w:bookmarkStart w:id="0" w:name="_GoBack"/>
      <w:bookmarkEnd w:id="0"/>
    </w:p>
    <w:p w:rsidR="000140C3" w:rsidRPr="00EC1767" w:rsidRDefault="004E1CDE" w:rsidP="00EC1767">
      <w:pPr>
        <w:spacing w:after="0" w:line="259" w:lineRule="auto"/>
        <w:ind w:left="0" w:firstLine="0"/>
      </w:pPr>
      <w:r w:rsidRPr="00EC1767">
        <w:t xml:space="preserve">What are some of the eligible activities under this program in which private school teachers and other educational personnel may participate? </w:t>
      </w:r>
    </w:p>
    <w:p w:rsidR="000140C3" w:rsidRPr="00EC1767" w:rsidRDefault="004E1CDE" w:rsidP="00EC1767">
      <w:pPr>
        <w:spacing w:after="0" w:line="259" w:lineRule="auto"/>
        <w:ind w:left="0" w:firstLine="0"/>
      </w:pPr>
      <w:r w:rsidRPr="00EC1767">
        <w:t xml:space="preserve"> </w:t>
      </w:r>
    </w:p>
    <w:p w:rsidR="000140C3" w:rsidRPr="00EC1767" w:rsidRDefault="004E1CDE" w:rsidP="00EC1767">
      <w:pPr>
        <w:spacing w:after="0"/>
        <w:ind w:left="-5"/>
      </w:pPr>
      <w:r w:rsidRPr="00EC1767">
        <w:t xml:space="preserve">As with any activity that the LEA carries out for public school teachers, activities supported funds that benefit private school teachers must meet the requirements of the Title II statute.  For example, activities to be carried out for private school personnel must be based on a review of scientifically based research and must be expected to improve student academic achievement. </w:t>
      </w:r>
    </w:p>
    <w:p w:rsidR="00EC1767" w:rsidRPr="00EC1767" w:rsidRDefault="00EC1767" w:rsidP="00EC1767">
      <w:pPr>
        <w:spacing w:after="0" w:line="259" w:lineRule="auto"/>
        <w:ind w:left="0" w:firstLine="0"/>
        <w:rPr>
          <w:b/>
        </w:rPr>
      </w:pPr>
    </w:p>
    <w:p w:rsidR="000140C3" w:rsidRPr="00EC1767" w:rsidRDefault="004E1CDE" w:rsidP="00EC1767">
      <w:pPr>
        <w:spacing w:after="0" w:line="259" w:lineRule="auto"/>
        <w:ind w:left="0" w:firstLine="0"/>
        <w:rPr>
          <w:b/>
        </w:rPr>
      </w:pPr>
      <w:r w:rsidRPr="00EC1767">
        <w:rPr>
          <w:b/>
        </w:rPr>
        <w:t xml:space="preserve">Professional development activities may include:  </w:t>
      </w:r>
    </w:p>
    <w:p w:rsidR="00EC1767" w:rsidRPr="00EC1767" w:rsidRDefault="00EC1767" w:rsidP="00EC1767">
      <w:pPr>
        <w:spacing w:after="0" w:line="259" w:lineRule="auto"/>
        <w:ind w:left="0" w:firstLine="0"/>
      </w:pPr>
    </w:p>
    <w:p w:rsidR="000140C3" w:rsidRPr="00EC1767" w:rsidRDefault="004E1CDE">
      <w:pPr>
        <w:numPr>
          <w:ilvl w:val="0"/>
          <w:numId w:val="1"/>
        </w:numPr>
        <w:ind w:hanging="360"/>
      </w:pPr>
      <w:r w:rsidRPr="00EC1767">
        <w:t xml:space="preserve">Improving the knowledge in one or more of the core academic subjects </w:t>
      </w:r>
    </w:p>
    <w:p w:rsidR="00EC1767" w:rsidRPr="00EC1767" w:rsidRDefault="00EC1767" w:rsidP="00EC1767">
      <w:pPr>
        <w:pStyle w:val="ListParagraph"/>
        <w:numPr>
          <w:ilvl w:val="0"/>
          <w:numId w:val="1"/>
        </w:numPr>
        <w:tabs>
          <w:tab w:val="center" w:pos="720"/>
          <w:tab w:val="center" w:pos="2173"/>
          <w:tab w:val="center" w:pos="5041"/>
          <w:tab w:val="center" w:pos="5401"/>
          <w:tab w:val="center" w:pos="6309"/>
        </w:tabs>
        <w:sectPr w:rsidR="00EC1767" w:rsidRPr="00EC1767">
          <w:footerReference w:type="default" r:id="rId9"/>
          <w:pgSz w:w="12240" w:h="15840"/>
          <w:pgMar w:top="1440" w:right="1447" w:bottom="1440" w:left="1440" w:header="720" w:footer="720" w:gutter="0"/>
          <w:cols w:space="720"/>
        </w:sectPr>
      </w:pPr>
    </w:p>
    <w:p w:rsidR="00EC1767" w:rsidRPr="00EC1767" w:rsidRDefault="004E1CDE" w:rsidP="00EC1767">
      <w:pPr>
        <w:pStyle w:val="ListParagraph"/>
        <w:numPr>
          <w:ilvl w:val="0"/>
          <w:numId w:val="1"/>
        </w:numPr>
        <w:tabs>
          <w:tab w:val="center" w:pos="720"/>
          <w:tab w:val="left" w:pos="4316"/>
          <w:tab w:val="center" w:pos="5041"/>
          <w:tab w:val="center" w:pos="5401"/>
        </w:tabs>
      </w:pPr>
      <w:r w:rsidRPr="00EC1767">
        <w:t>English, r</w:t>
      </w:r>
      <w:r w:rsidR="00EC1767" w:rsidRPr="00EC1767">
        <w:t>eading or language arts</w:t>
      </w:r>
      <w:r w:rsidR="00EC1767" w:rsidRPr="00EC1767">
        <w:tab/>
      </w:r>
    </w:p>
    <w:p w:rsidR="000140C3" w:rsidRPr="00EC1767" w:rsidRDefault="00EC1767" w:rsidP="00EC1767">
      <w:pPr>
        <w:pStyle w:val="ListParagraph"/>
        <w:numPr>
          <w:ilvl w:val="0"/>
          <w:numId w:val="1"/>
        </w:numPr>
        <w:tabs>
          <w:tab w:val="center" w:pos="720"/>
          <w:tab w:val="center" w:pos="2173"/>
          <w:tab w:val="center" w:pos="5041"/>
          <w:tab w:val="center" w:pos="5401"/>
          <w:tab w:val="center" w:pos="6309"/>
        </w:tabs>
      </w:pPr>
      <w:r w:rsidRPr="00EC1767">
        <w:t>G</w:t>
      </w:r>
      <w:r w:rsidR="004E1CDE" w:rsidRPr="00EC1767">
        <w:t xml:space="preserve">overnment </w:t>
      </w:r>
    </w:p>
    <w:p w:rsidR="00EC1767" w:rsidRPr="00EC1767" w:rsidRDefault="00EC1767" w:rsidP="00EC1767">
      <w:pPr>
        <w:pStyle w:val="ListParagraph"/>
        <w:numPr>
          <w:ilvl w:val="0"/>
          <w:numId w:val="1"/>
        </w:numPr>
        <w:tabs>
          <w:tab w:val="center" w:pos="360"/>
          <w:tab w:val="center" w:pos="720"/>
          <w:tab w:val="center" w:pos="5041"/>
          <w:tab w:val="center" w:pos="5401"/>
          <w:tab w:val="center" w:pos="6240"/>
        </w:tabs>
      </w:pPr>
      <w:r w:rsidRPr="00EC1767">
        <w:t xml:space="preserve">Mathematics </w:t>
      </w:r>
      <w:r w:rsidR="004E1CDE" w:rsidRPr="00EC1767">
        <w:t xml:space="preserve"> </w:t>
      </w:r>
      <w:r w:rsidR="004E1CDE" w:rsidRPr="00EC1767">
        <w:tab/>
      </w:r>
    </w:p>
    <w:p w:rsidR="000140C3" w:rsidRPr="00EC1767" w:rsidRDefault="00EC1767" w:rsidP="00EC1767">
      <w:pPr>
        <w:pStyle w:val="ListParagraph"/>
        <w:numPr>
          <w:ilvl w:val="0"/>
          <w:numId w:val="1"/>
        </w:numPr>
        <w:tabs>
          <w:tab w:val="center" w:pos="360"/>
          <w:tab w:val="center" w:pos="720"/>
          <w:tab w:val="center" w:pos="5041"/>
          <w:tab w:val="center" w:pos="5401"/>
          <w:tab w:val="center" w:pos="6240"/>
        </w:tabs>
        <w:spacing w:after="0" w:line="20" w:lineRule="atLeast"/>
      </w:pPr>
      <w:r w:rsidRPr="00EC1767">
        <w:t>E</w:t>
      </w:r>
      <w:r w:rsidR="004E1CDE" w:rsidRPr="00EC1767">
        <w:t xml:space="preserve">conomics </w:t>
      </w:r>
    </w:p>
    <w:p w:rsidR="00EC1767" w:rsidRPr="00EC1767" w:rsidRDefault="00EC1767" w:rsidP="00EC1767">
      <w:pPr>
        <w:pStyle w:val="ListParagraph"/>
        <w:numPr>
          <w:ilvl w:val="0"/>
          <w:numId w:val="1"/>
        </w:numPr>
        <w:tabs>
          <w:tab w:val="center" w:pos="360"/>
          <w:tab w:val="center" w:pos="720"/>
          <w:tab w:val="center" w:pos="5041"/>
          <w:tab w:val="center" w:pos="5401"/>
          <w:tab w:val="center" w:pos="5932"/>
        </w:tabs>
        <w:spacing w:after="0" w:line="20" w:lineRule="atLeast"/>
      </w:pPr>
      <w:r w:rsidRPr="00EC1767">
        <w:t>Science</w:t>
      </w:r>
      <w:r w:rsidRPr="00EC1767">
        <w:tab/>
      </w:r>
    </w:p>
    <w:p w:rsidR="000140C3" w:rsidRPr="00EC1767" w:rsidRDefault="00EC1767" w:rsidP="00EC1767">
      <w:pPr>
        <w:pStyle w:val="ListParagraph"/>
        <w:numPr>
          <w:ilvl w:val="0"/>
          <w:numId w:val="1"/>
        </w:numPr>
        <w:tabs>
          <w:tab w:val="center" w:pos="360"/>
          <w:tab w:val="center" w:pos="720"/>
          <w:tab w:val="center" w:pos="5041"/>
          <w:tab w:val="center" w:pos="5401"/>
          <w:tab w:val="center" w:pos="5932"/>
        </w:tabs>
        <w:spacing w:after="0" w:line="20" w:lineRule="atLeast"/>
        <w:ind w:hanging="14"/>
      </w:pPr>
      <w:r w:rsidRPr="00EC1767">
        <w:t>A</w:t>
      </w:r>
      <w:r w:rsidR="004E1CDE" w:rsidRPr="00EC1767">
        <w:t xml:space="preserve">rts </w:t>
      </w:r>
    </w:p>
    <w:p w:rsidR="00EC1767" w:rsidRPr="00EC1767" w:rsidRDefault="00EC1767" w:rsidP="00EC1767">
      <w:pPr>
        <w:pStyle w:val="ListParagraph"/>
        <w:numPr>
          <w:ilvl w:val="0"/>
          <w:numId w:val="1"/>
        </w:numPr>
        <w:spacing w:after="0" w:line="20" w:lineRule="atLeast"/>
        <w:ind w:right="86" w:hanging="14"/>
      </w:pPr>
      <w:r w:rsidRPr="00EC1767">
        <w:t>Foreign Languages</w:t>
      </w:r>
      <w:r w:rsidRPr="00EC1767">
        <w:tab/>
      </w:r>
      <w:r w:rsidRPr="00EC1767">
        <w:tab/>
      </w:r>
    </w:p>
    <w:p w:rsidR="00EC1767" w:rsidRPr="00EC1767" w:rsidRDefault="00EC1767" w:rsidP="00EC1767">
      <w:pPr>
        <w:pStyle w:val="ListParagraph"/>
        <w:numPr>
          <w:ilvl w:val="0"/>
          <w:numId w:val="1"/>
        </w:numPr>
        <w:spacing w:after="0" w:line="20" w:lineRule="atLeast"/>
        <w:ind w:right="2447" w:hanging="14"/>
      </w:pPr>
      <w:r w:rsidRPr="00EC1767">
        <w:t xml:space="preserve">History  </w:t>
      </w:r>
    </w:p>
    <w:p w:rsidR="00EC1767" w:rsidRPr="00EC1767" w:rsidRDefault="00EC1767" w:rsidP="00EC1767">
      <w:pPr>
        <w:pStyle w:val="ListParagraph"/>
        <w:numPr>
          <w:ilvl w:val="0"/>
          <w:numId w:val="1"/>
        </w:numPr>
        <w:spacing w:after="0" w:line="20" w:lineRule="atLeast"/>
        <w:ind w:right="2447" w:hanging="14"/>
      </w:pPr>
      <w:r w:rsidRPr="00EC1767">
        <w:t xml:space="preserve">Civics  </w:t>
      </w:r>
      <w:r w:rsidRPr="00EC1767">
        <w:tab/>
        <w:t xml:space="preserve"> </w:t>
      </w:r>
    </w:p>
    <w:p w:rsidR="000140C3" w:rsidRPr="00EC1767" w:rsidRDefault="00EC1767" w:rsidP="00EC1767">
      <w:pPr>
        <w:pStyle w:val="ListParagraph"/>
        <w:numPr>
          <w:ilvl w:val="0"/>
          <w:numId w:val="1"/>
        </w:numPr>
        <w:spacing w:after="0" w:line="20" w:lineRule="atLeast"/>
        <w:ind w:right="2447" w:hanging="14"/>
      </w:pPr>
      <w:r w:rsidRPr="00EC1767">
        <w:t>G</w:t>
      </w:r>
      <w:r w:rsidR="004E1CDE" w:rsidRPr="00EC1767">
        <w:t xml:space="preserve">eography </w:t>
      </w:r>
    </w:p>
    <w:p w:rsidR="00EC1767" w:rsidRPr="00EC1767" w:rsidRDefault="00EC1767" w:rsidP="00EC1767">
      <w:pPr>
        <w:sectPr w:rsidR="00EC1767" w:rsidRPr="00EC1767" w:rsidSect="00EC1767">
          <w:type w:val="continuous"/>
          <w:pgSz w:w="12240" w:h="15840"/>
          <w:pgMar w:top="1440" w:right="1447" w:bottom="1440" w:left="1440" w:header="720" w:footer="720" w:gutter="0"/>
          <w:cols w:num="2" w:space="720"/>
        </w:sectPr>
      </w:pPr>
    </w:p>
    <w:p w:rsidR="000140C3" w:rsidRPr="00EC1767" w:rsidRDefault="004E1CDE">
      <w:pPr>
        <w:numPr>
          <w:ilvl w:val="0"/>
          <w:numId w:val="1"/>
        </w:numPr>
        <w:ind w:hanging="360"/>
      </w:pPr>
      <w:r w:rsidRPr="00EC1767">
        <w:t xml:space="preserve">Improving the knowledge in effective instructional teaching strategies, methods, and skills </w:t>
      </w:r>
    </w:p>
    <w:p w:rsidR="000140C3" w:rsidRPr="00EC1767" w:rsidRDefault="004E1CDE">
      <w:pPr>
        <w:numPr>
          <w:ilvl w:val="0"/>
          <w:numId w:val="1"/>
        </w:numPr>
        <w:ind w:hanging="360"/>
      </w:pPr>
      <w:r w:rsidRPr="00EC1767">
        <w:t xml:space="preserve">Training in effectively integrating technology into curricula and instruction </w:t>
      </w:r>
    </w:p>
    <w:p w:rsidR="0010761B" w:rsidRPr="00EC1767" w:rsidRDefault="004E1CDE">
      <w:pPr>
        <w:numPr>
          <w:ilvl w:val="0"/>
          <w:numId w:val="1"/>
        </w:numPr>
        <w:spacing w:after="2" w:line="323" w:lineRule="auto"/>
        <w:ind w:hanging="360"/>
      </w:pPr>
      <w:r w:rsidRPr="00EC1767">
        <w:t xml:space="preserve">Training in how to teach </w:t>
      </w:r>
      <w:r w:rsidRPr="00EC1767">
        <w:tab/>
        <w:t xml:space="preserve"> </w:t>
      </w:r>
      <w:r w:rsidRPr="00EC1767">
        <w:tab/>
        <w:t xml:space="preserve">  </w:t>
      </w:r>
      <w:r w:rsidRPr="00EC1767">
        <w:tab/>
        <w:t xml:space="preserve"> </w:t>
      </w:r>
      <w:r w:rsidRPr="00EC1767">
        <w:tab/>
      </w:r>
    </w:p>
    <w:p w:rsidR="00EC1767" w:rsidRPr="00EC1767" w:rsidRDefault="00EC1767" w:rsidP="00EC1767">
      <w:pPr>
        <w:pStyle w:val="ListParagraph"/>
        <w:numPr>
          <w:ilvl w:val="0"/>
          <w:numId w:val="1"/>
        </w:numPr>
        <w:spacing w:after="2" w:line="323" w:lineRule="auto"/>
      </w:pPr>
      <w:r w:rsidRPr="00EC1767">
        <w:t>S</w:t>
      </w:r>
      <w:r w:rsidR="004E1CDE" w:rsidRPr="00EC1767">
        <w:t>t</w:t>
      </w:r>
      <w:r w:rsidRPr="00EC1767">
        <w:t xml:space="preserve">udents with different needs </w:t>
      </w:r>
    </w:p>
    <w:p w:rsidR="00EC1767" w:rsidRPr="00EC1767" w:rsidRDefault="00EC1767" w:rsidP="00EC1767">
      <w:pPr>
        <w:pStyle w:val="ListParagraph"/>
        <w:numPr>
          <w:ilvl w:val="0"/>
          <w:numId w:val="1"/>
        </w:numPr>
        <w:spacing w:after="2" w:line="323" w:lineRule="auto"/>
      </w:pPr>
      <w:r w:rsidRPr="00EC1767">
        <w:t>Students with disabilities</w:t>
      </w:r>
    </w:p>
    <w:p w:rsidR="00EC1767" w:rsidRPr="00EC1767" w:rsidRDefault="00EC1767" w:rsidP="00EC1767">
      <w:pPr>
        <w:pStyle w:val="ListParagraph"/>
        <w:numPr>
          <w:ilvl w:val="0"/>
          <w:numId w:val="1"/>
        </w:numPr>
        <w:spacing w:after="2" w:line="323" w:lineRule="auto"/>
      </w:pPr>
      <w:r w:rsidRPr="00EC1767">
        <w:t>S</w:t>
      </w:r>
      <w:r w:rsidR="004E1CDE" w:rsidRPr="00EC1767">
        <w:t xml:space="preserve">tudents with </w:t>
      </w:r>
      <w:r w:rsidRPr="00EC1767">
        <w:t>limited English proficiency</w:t>
      </w:r>
    </w:p>
    <w:p w:rsidR="000C7588" w:rsidRPr="00EC1767" w:rsidRDefault="00EC1767" w:rsidP="00EC1767">
      <w:pPr>
        <w:pStyle w:val="ListParagraph"/>
        <w:numPr>
          <w:ilvl w:val="0"/>
          <w:numId w:val="1"/>
        </w:numPr>
        <w:spacing w:after="2" w:line="323" w:lineRule="auto"/>
      </w:pPr>
      <w:r w:rsidRPr="00EC1767">
        <w:t>G</w:t>
      </w:r>
      <w:r w:rsidR="004E1CDE" w:rsidRPr="00EC1767">
        <w:t>ifted and talented students</w:t>
      </w:r>
    </w:p>
    <w:p w:rsidR="00EC1767" w:rsidRPr="00EC1767" w:rsidRDefault="000C7588" w:rsidP="00EC1767">
      <w:pPr>
        <w:numPr>
          <w:ilvl w:val="0"/>
          <w:numId w:val="1"/>
        </w:numPr>
        <w:spacing w:after="2" w:line="323" w:lineRule="auto"/>
        <w:ind w:hanging="360"/>
      </w:pPr>
      <w:r w:rsidRPr="00EC1767">
        <w:t xml:space="preserve"> </w:t>
      </w:r>
      <w:r w:rsidR="00EC1767" w:rsidRPr="00EC1767">
        <w:t>Training in methods of</w:t>
      </w:r>
    </w:p>
    <w:p w:rsidR="00EC1767" w:rsidRPr="00EC1767" w:rsidRDefault="00EC1767" w:rsidP="00EC1767">
      <w:pPr>
        <w:numPr>
          <w:ilvl w:val="0"/>
          <w:numId w:val="1"/>
        </w:numPr>
        <w:spacing w:after="2" w:line="323" w:lineRule="auto"/>
        <w:ind w:firstLine="0"/>
      </w:pPr>
      <w:r w:rsidRPr="00EC1767">
        <w:t>Improving student behavior</w:t>
      </w:r>
    </w:p>
    <w:p w:rsidR="00EC1767" w:rsidRPr="00EC1767" w:rsidRDefault="00EC1767" w:rsidP="00EC1767">
      <w:pPr>
        <w:numPr>
          <w:ilvl w:val="0"/>
          <w:numId w:val="1"/>
        </w:numPr>
        <w:spacing w:after="2" w:line="323" w:lineRule="auto"/>
        <w:ind w:firstLine="0"/>
      </w:pPr>
      <w:r w:rsidRPr="00EC1767">
        <w:t>I</w:t>
      </w:r>
      <w:r w:rsidR="004E1CDE" w:rsidRPr="00EC1767">
        <w:t xml:space="preserve">dentifying early and appropriate interventions </w:t>
      </w:r>
    </w:p>
    <w:p w:rsidR="000140C3" w:rsidRPr="00EC1767" w:rsidRDefault="00EC1767" w:rsidP="00EC1767">
      <w:pPr>
        <w:numPr>
          <w:ilvl w:val="0"/>
          <w:numId w:val="1"/>
        </w:numPr>
        <w:spacing w:after="2" w:line="323" w:lineRule="auto"/>
        <w:ind w:firstLine="0"/>
      </w:pPr>
      <w:r w:rsidRPr="00EC1767">
        <w:t>I</w:t>
      </w:r>
      <w:r w:rsidR="004E1CDE" w:rsidRPr="00EC1767">
        <w:t xml:space="preserve">nvolving parents more effectively in their children's education </w:t>
      </w:r>
    </w:p>
    <w:p w:rsidR="000140C3" w:rsidRPr="00EC1767" w:rsidRDefault="004E1CDE">
      <w:pPr>
        <w:numPr>
          <w:ilvl w:val="0"/>
          <w:numId w:val="1"/>
        </w:numPr>
        <w:ind w:hanging="360"/>
      </w:pPr>
      <w:r w:rsidRPr="00EC1767">
        <w:t xml:space="preserve">Leadership development and management training to improve the quality of principals </w:t>
      </w:r>
    </w:p>
    <w:p w:rsidR="000140C3" w:rsidRPr="00EC1767" w:rsidRDefault="004E1CDE">
      <w:pPr>
        <w:numPr>
          <w:ilvl w:val="0"/>
          <w:numId w:val="1"/>
        </w:numPr>
        <w:spacing w:after="9"/>
        <w:ind w:hanging="360"/>
      </w:pPr>
      <w:r w:rsidRPr="00EC1767">
        <w:t xml:space="preserve">Training in the use of data and assessments to improve instruction and student outcomes </w:t>
      </w:r>
    </w:p>
    <w:p w:rsidR="000140C3" w:rsidRPr="0010761B" w:rsidRDefault="004E1CDE">
      <w:pPr>
        <w:spacing w:after="0" w:line="259" w:lineRule="auto"/>
        <w:ind w:left="0" w:firstLine="0"/>
        <w:rPr>
          <w:sz w:val="21"/>
          <w:szCs w:val="21"/>
        </w:rPr>
      </w:pPr>
      <w:r w:rsidRPr="0010761B">
        <w:rPr>
          <w:sz w:val="21"/>
          <w:szCs w:val="21"/>
        </w:rPr>
        <w:t xml:space="preserve"> </w:t>
      </w:r>
    </w:p>
    <w:p w:rsidR="000140C3" w:rsidRPr="00830C55" w:rsidRDefault="004E1CDE">
      <w:pPr>
        <w:spacing w:after="36" w:line="259" w:lineRule="auto"/>
        <w:ind w:left="0" w:firstLine="0"/>
      </w:pPr>
      <w:r w:rsidRPr="0010761B">
        <w:rPr>
          <w:sz w:val="21"/>
          <w:szCs w:val="21"/>
        </w:rPr>
        <w:t xml:space="preserve"> </w:t>
      </w:r>
    </w:p>
    <w:p w:rsidR="000140C3" w:rsidRPr="00830C55" w:rsidRDefault="004E1CDE">
      <w:pPr>
        <w:tabs>
          <w:tab w:val="center" w:pos="360"/>
          <w:tab w:val="center" w:pos="7345"/>
        </w:tabs>
        <w:spacing w:after="0" w:line="265" w:lineRule="auto"/>
        <w:ind w:left="-15" w:firstLine="0"/>
      </w:pPr>
      <w:r w:rsidRPr="00830C55">
        <w:t xml:space="preserve"> </w:t>
      </w:r>
      <w:r w:rsidRPr="00830C55">
        <w:tab/>
        <w:t xml:space="preserve"> </w:t>
      </w:r>
      <w:r w:rsidRPr="00830C55">
        <w:tab/>
        <w:t xml:space="preserve">Source:   U.S. Department of Education </w:t>
      </w:r>
    </w:p>
    <w:p w:rsidR="000140C3" w:rsidRPr="00830C55" w:rsidRDefault="004E1CDE" w:rsidP="000C7588">
      <w:pPr>
        <w:tabs>
          <w:tab w:val="center" w:pos="360"/>
          <w:tab w:val="center" w:pos="5761"/>
          <w:tab w:val="center" w:pos="7724"/>
        </w:tabs>
        <w:spacing w:after="0" w:line="265" w:lineRule="auto"/>
        <w:ind w:left="-15" w:firstLine="0"/>
      </w:pPr>
      <w:r w:rsidRPr="00830C55">
        <w:t xml:space="preserve"> </w:t>
      </w:r>
      <w:r w:rsidRPr="00830C55">
        <w:tab/>
        <w:t xml:space="preserve"> </w:t>
      </w:r>
      <w:r w:rsidRPr="00830C55">
        <w:tab/>
        <w:t xml:space="preserve"> </w:t>
      </w:r>
      <w:r w:rsidR="0065499E" w:rsidRPr="00830C55">
        <w:tab/>
        <w:t>Office of Non-Public Education</w:t>
      </w:r>
    </w:p>
    <w:sectPr w:rsidR="000140C3" w:rsidRPr="00830C55" w:rsidSect="00EC1767">
      <w:type w:val="continuous"/>
      <w:pgSz w:w="12240" w:h="15840"/>
      <w:pgMar w:top="1440" w:right="1447"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9B" w:rsidRDefault="00E21B9B" w:rsidP="0065499E">
      <w:pPr>
        <w:spacing w:after="0" w:line="240" w:lineRule="auto"/>
      </w:pPr>
      <w:r>
        <w:separator/>
      </w:r>
    </w:p>
  </w:endnote>
  <w:endnote w:type="continuationSeparator" w:id="0">
    <w:p w:rsidR="00E21B9B" w:rsidRDefault="00E21B9B" w:rsidP="0065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9E" w:rsidRPr="00830C55" w:rsidRDefault="0065499E" w:rsidP="0065499E">
    <w:pPr>
      <w:spacing w:after="0" w:line="259" w:lineRule="auto"/>
      <w:ind w:left="0" w:firstLine="0"/>
      <w:jc w:val="center"/>
      <w:rPr>
        <w:color w:val="1F4E79" w:themeColor="accent1" w:themeShade="80"/>
      </w:rPr>
    </w:pPr>
    <w:r w:rsidRPr="00830C55">
      <w:rPr>
        <w:color w:val="1F4E79" w:themeColor="accent1" w:themeShade="80"/>
        <w:sz w:val="18"/>
      </w:rPr>
      <w:t>S</w:t>
    </w:r>
    <w:r w:rsidR="00D37385" w:rsidRPr="00830C55">
      <w:rPr>
        <w:color w:val="1F4E79" w:themeColor="accent1" w:themeShade="80"/>
        <w:sz w:val="18"/>
      </w:rPr>
      <w:t>ain</w:t>
    </w:r>
    <w:r w:rsidRPr="00830C55">
      <w:rPr>
        <w:color w:val="1F4E79" w:themeColor="accent1" w:themeShade="80"/>
        <w:sz w:val="18"/>
      </w:rPr>
      <w:t>t Louis Public Schools • 801 N. 11</w:t>
    </w:r>
    <w:r w:rsidRPr="00830C55">
      <w:rPr>
        <w:color w:val="1F4E79" w:themeColor="accent1" w:themeShade="80"/>
        <w:sz w:val="18"/>
        <w:vertAlign w:val="superscript"/>
      </w:rPr>
      <w:t>th</w:t>
    </w:r>
    <w:r w:rsidRPr="00830C55">
      <w:rPr>
        <w:color w:val="1F4E79" w:themeColor="accent1" w:themeShade="80"/>
        <w:sz w:val="18"/>
      </w:rPr>
      <w:t xml:space="preserve"> Street. • St Louis, MO 63101 • www.slps.org</w:t>
    </w:r>
  </w:p>
  <w:p w:rsidR="0065499E" w:rsidRDefault="00654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9B" w:rsidRDefault="00E21B9B" w:rsidP="0065499E">
      <w:pPr>
        <w:spacing w:after="0" w:line="240" w:lineRule="auto"/>
      </w:pPr>
      <w:r>
        <w:separator/>
      </w:r>
    </w:p>
  </w:footnote>
  <w:footnote w:type="continuationSeparator" w:id="0">
    <w:p w:rsidR="00E21B9B" w:rsidRDefault="00E21B9B" w:rsidP="00654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053B9"/>
    <w:multiLevelType w:val="hybridMultilevel"/>
    <w:tmpl w:val="71D465FA"/>
    <w:lvl w:ilvl="0" w:tplc="6924E15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F445F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4174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F6552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BA053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6A1C3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7E534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A8CB4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6A2EE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C3"/>
    <w:rsid w:val="000140C3"/>
    <w:rsid w:val="000C7588"/>
    <w:rsid w:val="00104BD5"/>
    <w:rsid w:val="0010761B"/>
    <w:rsid w:val="004E1CDE"/>
    <w:rsid w:val="0065499E"/>
    <w:rsid w:val="00830C55"/>
    <w:rsid w:val="009058CB"/>
    <w:rsid w:val="009C7554"/>
    <w:rsid w:val="00AD57D8"/>
    <w:rsid w:val="00D37385"/>
    <w:rsid w:val="00E21B9B"/>
    <w:rsid w:val="00EC1767"/>
    <w:rsid w:val="00F7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FE3B4-39FD-4A6A-8F35-497F3AFC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2"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
      <w:ind w:left="14" w:hanging="10"/>
      <w:jc w:val="center"/>
      <w:outlineLvl w:val="0"/>
    </w:pPr>
    <w:rPr>
      <w:rFonts w:ascii="Cambria" w:eastAsia="Cambria" w:hAnsi="Cambria" w:cs="Cambria"/>
      <w:b/>
      <w:color w:val="365F91"/>
      <w:sz w:val="19"/>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365F9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365F91"/>
      <w:sz w:val="19"/>
    </w:rPr>
  </w:style>
  <w:style w:type="character" w:customStyle="1" w:styleId="Heading2Char">
    <w:name w:val="Heading 2 Char"/>
    <w:link w:val="Heading2"/>
    <w:rPr>
      <w:rFonts w:ascii="Calibri" w:eastAsia="Calibri" w:hAnsi="Calibri" w:cs="Calibri"/>
      <w:b/>
      <w:color w:val="365F91"/>
      <w:sz w:val="24"/>
    </w:rPr>
  </w:style>
  <w:style w:type="paragraph" w:styleId="Header">
    <w:name w:val="header"/>
    <w:basedOn w:val="Normal"/>
    <w:link w:val="HeaderChar"/>
    <w:uiPriority w:val="99"/>
    <w:unhideWhenUsed/>
    <w:rsid w:val="00654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99E"/>
    <w:rPr>
      <w:rFonts w:ascii="Calibri" w:eastAsia="Calibri" w:hAnsi="Calibri" w:cs="Calibri"/>
      <w:color w:val="000000"/>
    </w:rPr>
  </w:style>
  <w:style w:type="paragraph" w:styleId="Footer">
    <w:name w:val="footer"/>
    <w:basedOn w:val="Normal"/>
    <w:link w:val="FooterChar"/>
    <w:uiPriority w:val="99"/>
    <w:unhideWhenUsed/>
    <w:rsid w:val="00654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99E"/>
    <w:rPr>
      <w:rFonts w:ascii="Calibri" w:eastAsia="Calibri" w:hAnsi="Calibri" w:cs="Calibri"/>
      <w:color w:val="000000"/>
    </w:rPr>
  </w:style>
  <w:style w:type="paragraph" w:styleId="ListParagraph">
    <w:name w:val="List Paragraph"/>
    <w:basedOn w:val="Normal"/>
    <w:uiPriority w:val="34"/>
    <w:qFormat/>
    <w:rsid w:val="00EC1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7A8DB-92F7-442F-9AA4-B8BB4381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 Louis Public Schools</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Raymond E. Wicks</dc:creator>
  <cp:keywords/>
  <cp:lastModifiedBy>Glaspy, Victoria</cp:lastModifiedBy>
  <cp:revision>2</cp:revision>
  <dcterms:created xsi:type="dcterms:W3CDTF">2017-08-29T22:23:00Z</dcterms:created>
  <dcterms:modified xsi:type="dcterms:W3CDTF">2017-08-29T22:23:00Z</dcterms:modified>
</cp:coreProperties>
</file>